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219430</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bookmarkStart w:id="2" w:name="_GoBack"/>
      <w:bookmarkEnd w:id="2"/>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mobility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8.13.4.2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around mobility aspects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9514" w:type="dxa"/>
          </w:tcPr>
          <w:p>
            <w:pPr>
              <w:pStyle w:val="4"/>
              <w:keepNext w:val="0"/>
              <w:keepLines w:val="0"/>
              <w:pageBreakBefore w:val="0"/>
              <w:tabs>
                <w:tab w:val="left" w:pos="226"/>
                <w:tab w:val="left" w:pos="284"/>
                <w:tab w:val="left" w:pos="5103"/>
              </w:tabs>
              <w:kinsoku/>
              <w:wordWrap/>
              <w:overflowPunct/>
              <w:topLinePunct w:val="0"/>
              <w:bidi w:val="0"/>
              <w:snapToGrid w:val="0"/>
              <w:spacing w:after="0"/>
              <w:textAlignment w:val="auto"/>
              <w:rPr>
                <w:rFonts w:hint="eastAsia"/>
                <w:b/>
                <w:bCs/>
                <w:sz w:val="22"/>
                <w:szCs w:val="22"/>
                <w:u w:val="none"/>
                <w:lang w:val="en-US" w:eastAsia="zh-CN"/>
              </w:rPr>
            </w:pPr>
            <w:r>
              <w:rPr>
                <w:rFonts w:hint="eastAsia"/>
                <w:b/>
                <w:bCs/>
                <w:sz w:val="22"/>
                <w:szCs w:val="22"/>
                <w:u w:val="none"/>
                <w:lang w:val="en-US" w:eastAsia="zh-CN"/>
              </w:rPr>
              <w:t>Mobility in RRC_IDLE/INACTIVE:</w:t>
            </w:r>
          </w:p>
          <w:p>
            <w:pPr>
              <w:rPr>
                <w:b/>
                <w:sz w:val="20"/>
                <w:szCs w:val="20"/>
                <w:u w:val="single"/>
                <w:lang w:eastAsia="ko-KR"/>
              </w:rPr>
            </w:pPr>
            <w:r>
              <w:rPr>
                <w:b/>
                <w:sz w:val="20"/>
                <w:szCs w:val="20"/>
                <w:u w:val="single"/>
                <w:lang w:eastAsia="ko-KR"/>
              </w:rPr>
              <w:t>Issue 2-1-1-1: Cell re-selection measurement capability</w:t>
            </w:r>
          </w:p>
          <w:p>
            <w:pPr>
              <w:numPr>
                <w:ilvl w:val="0"/>
                <w:numId w:val="5"/>
              </w:numPr>
              <w:ind w:left="935" w:hanging="357"/>
              <w:rPr>
                <w:sz w:val="20"/>
                <w:szCs w:val="20"/>
              </w:rPr>
            </w:pPr>
            <w:r>
              <w:rPr>
                <w:sz w:val="20"/>
                <w:szCs w:val="20"/>
              </w:rPr>
              <w:t xml:space="preserve">Use current UE capability for NR intra-frequency measurement and NR inter-frequency measurement as the starting point. </w:t>
            </w:r>
          </w:p>
          <w:p>
            <w:pPr>
              <w:numPr>
                <w:ilvl w:val="1"/>
                <w:numId w:val="5"/>
              </w:numPr>
              <w:rPr>
                <w:sz w:val="20"/>
                <w:szCs w:val="20"/>
              </w:rPr>
            </w:pPr>
            <w:r>
              <w:rPr>
                <w:sz w:val="20"/>
                <w:szCs w:val="20"/>
              </w:rPr>
              <w:t>Further study the capability after the scenario is clearer in the RF group.</w:t>
            </w:r>
          </w:p>
          <w:p>
            <w:pPr>
              <w:rPr>
                <w:b/>
                <w:sz w:val="20"/>
                <w:szCs w:val="20"/>
                <w:u w:val="single"/>
                <w:lang w:eastAsia="ko-KR"/>
              </w:rPr>
            </w:pPr>
            <w:r>
              <w:rPr>
                <w:b/>
                <w:sz w:val="20"/>
                <w:szCs w:val="20"/>
                <w:u w:val="single"/>
                <w:lang w:eastAsia="ko-KR"/>
              </w:rPr>
              <w:t>Issue 2-1-2: MDT</w:t>
            </w:r>
          </w:p>
          <w:p>
            <w:pPr>
              <w:numPr>
                <w:ilvl w:val="0"/>
                <w:numId w:val="5"/>
              </w:numPr>
              <w:ind w:left="935" w:hanging="357"/>
              <w:rPr>
                <w:rFonts w:hint="default"/>
                <w:lang w:val="en-US" w:eastAsia="zh-CN"/>
              </w:rPr>
            </w:pPr>
            <w:r>
              <w:rPr>
                <w:sz w:val="20"/>
                <w:szCs w:val="20"/>
              </w:rPr>
              <w:t>The conclusion on MDT measurement requirements can be delayed until RAN4 decide how to define ATG cell-reselection measurement requirements.</w:t>
            </w:r>
          </w:p>
          <w:p>
            <w:pPr>
              <w:numPr>
                <w:ilvl w:val="0"/>
                <w:numId w:val="0"/>
              </w:numPr>
              <w:ind w:left="578" w:leftChars="0"/>
              <w:rPr>
                <w:rFonts w:hint="default"/>
                <w:lang w:val="en-US" w:eastAsia="zh-CN"/>
              </w:rPr>
            </w:pPr>
          </w:p>
          <w:p>
            <w:pPr>
              <w:pStyle w:val="28"/>
              <w:keepNext w:val="0"/>
              <w:keepLines w:val="0"/>
              <w:pageBreakBefore w:val="0"/>
              <w:widowControl w:val="0"/>
              <w:numPr>
                <w:ilvl w:val="0"/>
                <w:numId w:val="0"/>
              </w:numPr>
              <w:tabs>
                <w:tab w:val="left" w:pos="-420"/>
              </w:tabs>
              <w:kinsoku/>
              <w:wordWrap/>
              <w:overflowPunct/>
              <w:topLinePunct w:val="0"/>
              <w:autoSpaceDE w:val="0"/>
              <w:autoSpaceDN w:val="0"/>
              <w:bidi w:val="0"/>
              <w:adjustRightInd w:val="0"/>
              <w:spacing w:line="360" w:lineRule="auto"/>
              <w:jc w:val="both"/>
              <w:textAlignment w:val="auto"/>
              <w:rPr>
                <w:rFonts w:hint="eastAsia" w:ascii="Times New Roman" w:hAnsi="Times New Roman" w:eastAsia="MS Mincho" w:cs="Times New Roman"/>
                <w:b/>
                <w:bCs/>
                <w:kern w:val="0"/>
                <w:sz w:val="22"/>
                <w:szCs w:val="22"/>
                <w:u w:val="none"/>
                <w:lang w:val="en-US" w:eastAsia="zh-CN" w:bidi="ar-SA"/>
              </w:rPr>
            </w:pPr>
            <w:r>
              <w:rPr>
                <w:rFonts w:hint="default" w:ascii="Times New Roman" w:hAnsi="Times New Roman" w:eastAsia="MS Mincho" w:cs="Times New Roman"/>
                <w:b/>
                <w:bCs/>
                <w:kern w:val="0"/>
                <w:sz w:val="22"/>
                <w:szCs w:val="22"/>
                <w:u w:val="none"/>
                <w:lang w:val="en-US" w:eastAsia="zh-CN" w:bidi="ar-SA"/>
              </w:rPr>
              <w:t>Mobility in RRC_CONNECTED</w:t>
            </w:r>
            <w:r>
              <w:rPr>
                <w:rFonts w:hint="eastAsia" w:ascii="Times New Roman" w:hAnsi="Times New Roman" w:eastAsia="MS Mincho" w:cs="Times New Roman"/>
                <w:b/>
                <w:bCs/>
                <w:kern w:val="0"/>
                <w:sz w:val="22"/>
                <w:szCs w:val="22"/>
                <w:u w:val="none"/>
                <w:lang w:val="en-US" w:eastAsia="zh-CN" w:bidi="ar-SA"/>
              </w:rPr>
              <w:t>:</w:t>
            </w:r>
          </w:p>
          <w:p>
            <w:pPr>
              <w:rPr>
                <w:b/>
                <w:sz w:val="20"/>
                <w:szCs w:val="20"/>
                <w:u w:val="single"/>
                <w:lang w:eastAsia="ko-KR"/>
              </w:rPr>
            </w:pPr>
            <w:r>
              <w:rPr>
                <w:b/>
                <w:sz w:val="20"/>
                <w:szCs w:val="20"/>
                <w:u w:val="single"/>
                <w:lang w:eastAsia="ko-KR"/>
              </w:rPr>
              <w:t>Issue 2-2-4: Random Access</w:t>
            </w:r>
          </w:p>
          <w:p>
            <w:pPr>
              <w:numPr>
                <w:ilvl w:val="0"/>
                <w:numId w:val="5"/>
              </w:numPr>
              <w:ind w:left="935" w:hanging="357"/>
              <w:rPr>
                <w:rFonts w:hint="default" w:ascii="Times New Roman" w:hAnsi="Times New Roman" w:eastAsia="MS Mincho" w:cs="Times New Roman"/>
                <w:b/>
                <w:bCs/>
                <w:kern w:val="0"/>
                <w:sz w:val="22"/>
                <w:szCs w:val="22"/>
                <w:u w:val="none"/>
                <w:lang w:val="en-US" w:eastAsia="zh-CN" w:bidi="ar-SA"/>
              </w:rPr>
            </w:pPr>
            <w:r>
              <w:rPr>
                <w:rFonts w:eastAsia="宋体"/>
                <w:sz w:val="20"/>
                <w:szCs w:val="20"/>
              </w:rPr>
              <w:t xml:space="preserve">For 4-step RA, existing requirements can apply and no need to have ATG specific requirements. The conclusion could be revisited after RF </w:t>
            </w:r>
            <w:r>
              <w:rPr>
                <w:rFonts w:hint="eastAsia" w:eastAsia="宋体"/>
                <w:sz w:val="20"/>
                <w:szCs w:val="20"/>
              </w:rPr>
              <w:t>achieve</w:t>
            </w:r>
            <w:r>
              <w:rPr>
                <w:rFonts w:eastAsia="宋体"/>
                <w:sz w:val="20"/>
                <w:szCs w:val="20"/>
              </w:rPr>
              <w:t xml:space="preserve"> final conclusion about ISD</w:t>
            </w:r>
            <w:r>
              <w:rPr>
                <w:rFonts w:hint="eastAsia" w:eastAsia="宋体"/>
                <w:sz w:val="20"/>
                <w:szCs w:val="20"/>
                <w:lang w:val="en-US" w:eastAsia="zh-CN"/>
              </w:rPr>
              <w:t>.</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Still multiple issues are suspending. In this document, we will provide some further analysis on mobility aspects of ATG based on the multiple new characteristics of ATG compared with traditional fully ground based systems.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3km--12km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Mobility requirement for IDLE/INACTIVE</w:t>
      </w:r>
    </w:p>
    <w:p>
      <w:pPr>
        <w:pStyle w:val="4"/>
        <w:rPr>
          <w:rFonts w:hint="default"/>
          <w:b w:val="0"/>
          <w:bCs w:val="0"/>
          <w:sz w:val="20"/>
          <w:szCs w:val="20"/>
          <w:u w:val="single"/>
          <w:lang w:val="en-US" w:eastAsia="zh-CN"/>
        </w:rPr>
      </w:pPr>
      <w:r>
        <w:rPr>
          <w:rFonts w:hint="eastAsia" w:eastAsia="宋体" w:cs="Times New Roman"/>
          <w:b w:val="0"/>
          <w:bCs w:val="0"/>
          <w:iCs w:val="0"/>
          <w:color w:val="auto"/>
          <w:kern w:val="32"/>
          <w:sz w:val="20"/>
          <w:szCs w:val="20"/>
          <w:u w:val="single"/>
          <w:lang w:val="en-US" w:eastAsia="zh-CN" w:bidi="ar-SA"/>
        </w:rPr>
        <w:t>Cell re-selection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discussion is around cell re-selection. It has been approved that using current UE capability for NR intra-frequency measurement and NR inter-frequency measurement as the starting point. Based on such guideline, the cell re-selection mechanism and requirements can be further identified.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cell re-selection mechanism, the following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sz w:val="20"/>
                <w:szCs w:val="20"/>
                <w:lang w:val="en-GB"/>
              </w:rPr>
            </w:pPr>
            <w:r>
              <w:rPr>
                <w:sz w:val="20"/>
                <w:szCs w:val="20"/>
                <w:lang w:val="en-GB"/>
              </w:rPr>
              <w:t xml:space="preserve">Option 1: Use the legacy cell-reselection rule and procedure as the baseline. </w:t>
            </w:r>
          </w:p>
          <w:p>
            <w:pPr>
              <w:numPr>
                <w:ilvl w:val="0"/>
                <w:numId w:val="5"/>
              </w:numPr>
              <w:rPr>
                <w:sz w:val="20"/>
                <w:szCs w:val="20"/>
                <w:lang w:val="en-GB"/>
              </w:rPr>
            </w:pPr>
            <w:r>
              <w:rPr>
                <w:rFonts w:hint="eastAsia"/>
                <w:sz w:val="20"/>
                <w:szCs w:val="20"/>
                <w:lang w:val="en-GB"/>
              </w:rPr>
              <w:t>O</w:t>
            </w:r>
            <w:r>
              <w:rPr>
                <w:sz w:val="20"/>
                <w:szCs w:val="20"/>
                <w:lang w:val="en-GB"/>
              </w:rPr>
              <w:t xml:space="preserve">ption 2: Introduce distance based triggering as an additional condition for intra- and inter-frequency cell measurement considering ATG UE speed </w:t>
            </w:r>
          </w:p>
          <w:p>
            <w:pPr>
              <w:numPr>
                <w:ilvl w:val="0"/>
                <w:numId w:val="5"/>
              </w:numPr>
              <w:rPr>
                <w:sz w:val="20"/>
                <w:szCs w:val="20"/>
                <w:lang w:val="en-GB"/>
              </w:rPr>
            </w:pPr>
            <w:r>
              <w:rPr>
                <w:sz w:val="20"/>
                <w:szCs w:val="20"/>
                <w:lang w:val="en-GB"/>
              </w:rPr>
              <w:t xml:space="preserve">Option 3: </w:t>
            </w:r>
          </w:p>
          <w:p>
            <w:pPr>
              <w:numPr>
                <w:ilvl w:val="1"/>
                <w:numId w:val="5"/>
              </w:numPr>
              <w:rPr>
                <w:sz w:val="20"/>
                <w:szCs w:val="20"/>
                <w:lang w:val="en-GB"/>
              </w:rPr>
            </w:pPr>
            <w:r>
              <w:rPr>
                <w:sz w:val="20"/>
                <w:szCs w:val="20"/>
                <w:lang w:val="en-GB"/>
              </w:rPr>
              <w:t>The A2G UE is allowed to not measure on the neighbour cells based on the coverage information of the serving cell e.g. if serving cell RSRP is above a certain threshold which is FFS.</w:t>
            </w:r>
          </w:p>
          <w:p>
            <w:pPr>
              <w:numPr>
                <w:ilvl w:val="1"/>
                <w:numId w:val="5"/>
              </w:numPr>
              <w:rPr>
                <w:rFonts w:hint="default" w:eastAsia="宋体"/>
                <w:color w:val="auto"/>
                <w:sz w:val="20"/>
                <w:szCs w:val="20"/>
                <w:highlight w:val="none"/>
                <w:vertAlign w:val="baseline"/>
                <w:lang w:val="en-US" w:eastAsia="zh-CN"/>
              </w:rPr>
            </w:pPr>
            <w:r>
              <w:rPr>
                <w:sz w:val="20"/>
                <w:szCs w:val="20"/>
                <w:lang w:val="en-GB"/>
              </w:rPr>
              <w:t xml:space="preserve">For cell reselection, the A2G UE should resume the neighbor cell measurement in normal manner without any relaxation based on assistance information related to unpredictable changes in flight operation mode. </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majority preference of Option 1 during last meeting. The motivation of Option 2 and Option 3 are similar, they both tend to reduce or weaken the intra-frequency and inter-frequency measurement due to large ISD in ATG.</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our opinion, firstly the Option 1 should be supported, i.e. the legacy cell re-selection rule should be a baseline or the mandatory support. Regarding to whether additional enhanced cell re-selection can be considered, either not support or optional support.</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The legacy cell re-selection rule should be a baseline or mandatory support. Regarding to whether additional enhanced cell re-selection can be considered, either not support or optional support.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ATG CPE should be more powerful than normal hand-held UE and not constraint by the size. So the power consumption is not the factor which should be mainly considered. Based on such assumption, we are not sure why we need to design a new cell re-selection rule additionally, which would impact the UE implementation and perf test greatly. The trade-off between the workload and performance gain brought by the new rule should be considered.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ATG CPE should be more powerful than normal hand-held UE and not constraint by the size. So the power consumption is not the factor which should be mainly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Design an additional cell re-selection rule, which would impact the UE implementation and perf test greatly.</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2: The trade-off between the workload and performance gain brought by the new cell re-selection rule should be considered.</w:t>
      </w:r>
    </w:p>
    <w:p>
      <w:pPr>
        <w:pStyle w:val="4"/>
        <w:rPr>
          <w:rFonts w:hint="eastAsia" w:eastAsia="宋体"/>
          <w:color w:val="auto"/>
          <w:sz w:val="20"/>
          <w:szCs w:val="20"/>
          <w:lang w:val="en-US" w:eastAsia="zh-CN"/>
        </w:rPr>
      </w:pPr>
      <w:r>
        <w:rPr>
          <w:rFonts w:hint="eastAsia" w:eastAsia="宋体"/>
          <w:color w:val="auto"/>
          <w:sz w:val="20"/>
          <w:szCs w:val="20"/>
          <w:lang w:val="en-US" w:eastAsia="zh-CN"/>
        </w:rPr>
        <w:t>Referring to the cell re-selection measurement requirements, which is mainly depended by the cell re-selection mechanism. If only reusing legacy cell re-selection mechanism, then reusing the legacy R15 requirements is fine. While once additional new mechanism was introduced, of course the corresponding enhancement of requirements should be discussed. So wait for the outcome of cell re-selection mechanism.</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Whether cell re-selection measurement requirements needs to be enhanced, depend on the outcome of cell re-selection mechanism. If not any new mechanism approved, just reusing the legacy R15 requirements is fine.</w:t>
      </w:r>
    </w:p>
    <w:p>
      <w:pPr>
        <w:pStyle w:val="4"/>
        <w:rPr>
          <w:rFonts w:hint="eastAsia" w:eastAsia="宋体" w:cs="Times New Roman"/>
          <w:b w:val="0"/>
          <w:bCs w:val="0"/>
          <w:iCs w:val="0"/>
          <w:color w:val="auto"/>
          <w:kern w:val="32"/>
          <w:sz w:val="20"/>
          <w:szCs w:val="20"/>
          <w:u w:val="single"/>
          <w:lang w:val="en-US" w:eastAsia="zh-CN" w:bidi="ar-SA"/>
        </w:rPr>
      </w:pPr>
      <w:r>
        <w:rPr>
          <w:rFonts w:hint="eastAsia" w:eastAsia="宋体" w:cs="Times New Roman"/>
          <w:b w:val="0"/>
          <w:bCs w:val="0"/>
          <w:iCs w:val="0"/>
          <w:color w:val="auto"/>
          <w:kern w:val="32"/>
          <w:sz w:val="20"/>
          <w:szCs w:val="20"/>
          <w:u w:val="single"/>
          <w:lang w:val="en-US" w:eastAsia="zh-CN" w:bidi="ar-SA"/>
        </w:rPr>
        <w:t>SDT</w:t>
      </w:r>
    </w:p>
    <w:p>
      <w:pPr>
        <w:pStyle w:val="4"/>
        <w:rPr>
          <w:rFonts w:hint="eastAsia" w:eastAsia="宋体"/>
          <w:color w:val="auto"/>
          <w:sz w:val="20"/>
          <w:szCs w:val="20"/>
          <w:lang w:val="en-US" w:eastAsia="zh-CN"/>
        </w:rPr>
      </w:pPr>
      <w:r>
        <w:rPr>
          <w:rFonts w:hint="eastAsia" w:eastAsia="宋体"/>
          <w:color w:val="auto"/>
          <w:sz w:val="20"/>
          <w:szCs w:val="20"/>
          <w:lang w:val="en-US" w:eastAsia="zh-CN"/>
        </w:rPr>
        <w:t>We are not sure the necessity of SDT in INACTIVE for ATG UE. It seems the demand is not strong since the UL transmission from ATG UE should derived from the passenger</w:t>
      </w:r>
      <w:r>
        <w:rPr>
          <w:rFonts w:hint="default" w:eastAsia="宋体"/>
          <w:color w:val="auto"/>
          <w:sz w:val="20"/>
          <w:szCs w:val="20"/>
          <w:lang w:val="en-US" w:eastAsia="zh-CN"/>
        </w:rPr>
        <w:t>’</w:t>
      </w:r>
      <w:r>
        <w:rPr>
          <w:rFonts w:hint="eastAsia" w:eastAsia="宋体"/>
          <w:color w:val="auto"/>
          <w:sz w:val="20"/>
          <w:szCs w:val="20"/>
          <w:lang w:val="en-US" w:eastAsia="zh-CN"/>
        </w:rPr>
        <w:t>s UL data. Is SDT enough for hundreds of passengers</w:t>
      </w:r>
      <w:r>
        <w:rPr>
          <w:rFonts w:hint="default" w:eastAsia="宋体"/>
          <w:color w:val="auto"/>
          <w:sz w:val="20"/>
          <w:szCs w:val="20"/>
          <w:lang w:val="en-US" w:eastAsia="zh-CN"/>
        </w:rPr>
        <w:t>’</w:t>
      </w:r>
      <w:r>
        <w:rPr>
          <w:rFonts w:hint="eastAsia" w:eastAsia="宋体"/>
          <w:color w:val="auto"/>
          <w:sz w:val="20"/>
          <w:szCs w:val="20"/>
          <w:lang w:val="en-US" w:eastAsia="zh-CN"/>
        </w:rPr>
        <w:t xml:space="preserve"> UL data? Maybe it is hard. So we do not prefer applying SDT for ATG scenario.</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It seems SDT is not enough with the consideration of hundreds of passengers. So we do not prefer applying SDT under ATG scenario.</w:t>
      </w:r>
    </w:p>
    <w:p>
      <w:pPr>
        <w:pStyle w:val="4"/>
        <w:rPr>
          <w:rFonts w:hint="default" w:eastAsia="宋体" w:cs="Times New Roman"/>
          <w:b/>
          <w:bCs/>
          <w:color w:val="auto"/>
          <w:sz w:val="20"/>
          <w:szCs w:val="20"/>
          <w:highlight w:val="none"/>
          <w:lang w:val="en-US" w:eastAsia="zh-CN" w:bidi="ar-SA"/>
        </w:rPr>
      </w:pPr>
      <w:r>
        <w:rPr>
          <w:rFonts w:hint="eastAsia" w:eastAsia="宋体"/>
          <w:color w:val="auto"/>
          <w:sz w:val="20"/>
          <w:szCs w:val="20"/>
          <w:lang w:val="en-US" w:eastAsia="zh-CN"/>
        </w:rPr>
        <w:t xml:space="preserve">  </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Mobility requirement for CONNECTED</w:t>
      </w:r>
    </w:p>
    <w:p>
      <w:pPr>
        <w:pStyle w:val="4"/>
        <w:rPr>
          <w:rFonts w:hint="eastAsia" w:eastAsia="宋体"/>
          <w:color w:val="auto"/>
          <w:sz w:val="20"/>
          <w:szCs w:val="20"/>
          <w:highlight w:val="none"/>
          <w:lang w:val="en-US" w:eastAsia="zh-CN"/>
        </w:rPr>
      </w:pP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Focus on handover, RRC re-establishment and RRC release with redirection, we analysis the necessity of RRM enhancements for ATG. </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handover</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Firstly, we believe the intra-frequency measurement and inter-frequency measurement for handover is necessary. If only resume such measurements when sudden events happens, since of up to 1200km/h speed, which means the regular measurements becomes to event triggered and maybe out of NW control. So regular intra-frequency measurement and inter-frequency measurement similar as legacy is needed.</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5: regular intra-frequency measurement and inter-frequency measurement similar as legacy is needed.</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Referring to the exact requirements for intra/inter-frequency measurement, for FR1-FR1 handover, we believe the following issues should be studied to identify whether additional enhancement is necessary.</w:t>
      </w:r>
    </w:p>
    <w:p>
      <w:pPr>
        <w:pStyle w:val="4"/>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Issue 1: The requirements for known case</w:t>
      </w:r>
    </w:p>
    <w:p>
      <w:pPr>
        <w:pStyle w:val="4"/>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Issue 2: The applicability of unknown case</w:t>
      </w:r>
    </w:p>
    <w:p>
      <w:pPr>
        <w:rPr>
          <w:rFonts w:hint="eastAsia"/>
          <w:lang w:val="en-US" w:eastAsia="zh-CN"/>
        </w:rPr>
      </w:pPr>
      <w:r>
        <w:rPr>
          <w:rFonts w:hint="eastAsia" w:eastAsia="宋体"/>
          <w:color w:val="auto"/>
          <w:sz w:val="20"/>
          <w:szCs w:val="20"/>
          <w:lang w:val="en-US" w:eastAsia="zh-CN"/>
        </w:rPr>
        <w:t>For Issue 1, according to the legacy requirement, f</w:t>
      </w:r>
      <w:r>
        <w:rPr>
          <w:rFonts w:hint="eastAsia"/>
          <w:lang w:val="en-US" w:eastAsia="zh-CN"/>
        </w:rPr>
        <w:t xml:space="preserve">or known case, </w:t>
      </w:r>
      <w:bookmarkStart w:id="0" w:name="OLE_LINK41"/>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rPr>
          <w:rFonts w:hint="eastAsia"/>
          <w:vertAlign w:val="subscript"/>
          <w:lang w:val="en-US" w:eastAsia="zh-CN"/>
        </w:rPr>
        <w:t xml:space="preserve"> </w:t>
      </w:r>
      <w:r>
        <w:t>ms</w:t>
      </w:r>
      <w:bookmarkEnd w:id="0"/>
      <w:r>
        <w:rPr>
          <w:rFonts w:hint="eastAsia"/>
          <w:lang w:val="en-US" w:eastAsia="zh-CN"/>
        </w:rPr>
        <w:t>, where</w:t>
      </w:r>
    </w:p>
    <w:p>
      <w:pPr>
        <w:numPr>
          <w:ilvl w:val="0"/>
          <w:numId w:val="7"/>
        </w:numPr>
        <w:ind w:left="840" w:leftChars="0" w:hanging="420" w:firstLineChars="0"/>
        <w:rPr>
          <w:rFonts w:hint="eastAsia"/>
          <w:lang w:val="en-US" w:eastAsia="zh-CN"/>
        </w:rPr>
      </w:pPr>
      <w:r>
        <w:t>T</w:t>
      </w:r>
      <w:r>
        <w:rPr>
          <w:vertAlign w:val="subscript"/>
        </w:rPr>
        <w:t>search</w:t>
      </w:r>
      <w:r>
        <w:t xml:space="preserve"> </w:t>
      </w:r>
      <w:r>
        <w:rPr>
          <w:rFonts w:hint="eastAsia"/>
          <w:lang w:val="en-US" w:eastAsia="zh-CN"/>
        </w:rPr>
        <w:t>= 0 ms.</w:t>
      </w:r>
    </w:p>
    <w:p>
      <w:pPr>
        <w:numPr>
          <w:ilvl w:val="0"/>
          <w:numId w:val="7"/>
        </w:numPr>
        <w:ind w:left="840" w:leftChars="0" w:hanging="420" w:firstLineChars="0"/>
      </w:pPr>
      <w:r>
        <w:t>T</w:t>
      </w:r>
      <w:r>
        <w:rPr>
          <w:vertAlign w:val="subscript"/>
        </w:rPr>
        <w:t>∆</w:t>
      </w:r>
      <w:r>
        <w:t xml:space="preserve"> is time for </w:t>
      </w:r>
      <w:r>
        <w:rPr>
          <w:highlight w:val="none"/>
        </w:rPr>
        <w:t xml:space="preserve">fine time tracking and acquiring full timing information of the target cell. </w:t>
      </w:r>
      <w:r>
        <w:t>T</w:t>
      </w:r>
      <w:r>
        <w:rPr>
          <w:vertAlign w:val="subscript"/>
        </w:rPr>
        <w:t>∆</w:t>
      </w:r>
      <w:r>
        <w:t xml:space="preserve"> = T</w:t>
      </w:r>
      <w:r>
        <w:rPr>
          <w:vertAlign w:val="subscript"/>
        </w:rPr>
        <w:t>rs</w:t>
      </w:r>
      <w:r>
        <w:t>.</w:t>
      </w:r>
      <w:r>
        <w:rPr>
          <w:rFonts w:hint="eastAsia"/>
          <w:lang w:val="en-US" w:eastAsia="zh-CN"/>
        </w:rPr>
        <w:t xml:space="preserve"> </w:t>
      </w:r>
    </w:p>
    <w:p>
      <w:pPr>
        <w:numPr>
          <w:ilvl w:val="0"/>
          <w:numId w:val="7"/>
        </w:numPr>
        <w:ind w:left="840" w:leftChars="0" w:hanging="420" w:firstLineChars="0"/>
        <w:rPr>
          <w:rFonts w:hint="default" w:eastAsia="宋体"/>
          <w:lang w:val="en-US" w:eastAsia="zh-CN"/>
        </w:rPr>
      </w:pPr>
      <w:r>
        <w:t>T</w:t>
      </w:r>
      <w:r>
        <w:rPr>
          <w:vertAlign w:val="subscript"/>
        </w:rPr>
        <w:t>IU</w:t>
      </w:r>
      <w:r>
        <w:t xml:space="preserve"> is the interruption uncertainty </w:t>
      </w:r>
      <w:r>
        <w:rPr>
          <w:lang w:eastAsia="zh-CN"/>
        </w:rPr>
        <w:t>in acquiring the first available PRACH occasion in the new cell</w:t>
      </w:r>
      <w:r>
        <w:t xml:space="preserve">. </w:t>
      </w:r>
    </w:p>
    <w:p>
      <w:pPr>
        <w:numPr>
          <w:ilvl w:val="0"/>
          <w:numId w:val="7"/>
        </w:numPr>
        <w:ind w:left="840" w:leftChars="0" w:hanging="420" w:firstLineChars="0"/>
        <w:rPr>
          <w:rFonts w:hint="default"/>
          <w:lang w:val="en-US" w:eastAsia="zh-CN"/>
        </w:rPr>
      </w:pPr>
      <w:r>
        <w:t>T</w:t>
      </w:r>
      <w:r>
        <w:rPr>
          <w:vertAlign w:val="subscript"/>
          <w:lang w:eastAsia="zh-CN"/>
        </w:rPr>
        <w:t>processing</w:t>
      </w:r>
      <w:r>
        <w:t xml:space="preserve"> is time for UE processing. T</w:t>
      </w:r>
      <w:r>
        <w:rPr>
          <w:vertAlign w:val="subscript"/>
          <w:lang w:eastAsia="zh-CN"/>
        </w:rPr>
        <w:t>processing</w:t>
      </w:r>
      <w:r>
        <w:t xml:space="preserve"> can be up to 20ms.</w:t>
      </w:r>
      <w:r>
        <w:rPr>
          <w:rFonts w:hint="eastAsia"/>
          <w:lang w:val="en-US" w:eastAsia="zh-CN"/>
        </w:rPr>
        <w:t xml:space="preserve"> </w:t>
      </w:r>
    </w:p>
    <w:p>
      <w:pPr>
        <w:numPr>
          <w:ilvl w:val="0"/>
          <w:numId w:val="7"/>
        </w:numPr>
        <w:ind w:left="840" w:leftChars="0" w:hanging="420" w:firstLineChars="0"/>
        <w:rPr>
          <w:rFonts w:hint="default"/>
          <w:lang w:val="en-US" w:eastAsia="zh-CN"/>
        </w:rPr>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r>
        <w:rPr>
          <w:rFonts w:hint="eastAsia"/>
          <w:lang w:val="en-US" w:eastAsia="zh-CN"/>
        </w:rPr>
        <w:t xml:space="preserve"> </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known target cell, the handover delay is rough estimated as 102ms(assuming SMTC is 40 ms), Considering the velocity of 1200km/h, ATG UE can move about 34 m. The handover range can cover such distance. So not need to introduce additional enhancement. Reusing legacy requirements is fine.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Considering the requirements for known case handover, re-using legacy legacy requirement for ATG UE is fine.</w:t>
      </w:r>
    </w:p>
    <w:p>
      <w:pPr>
        <w:rPr>
          <w:rFonts w:hint="default" w:ascii="Times New Roman" w:hAnsi="Times New Roman" w:eastAsia="宋体" w:cs="Times New Roman"/>
          <w:b w:val="0"/>
          <w:bCs/>
          <w:kern w:val="44"/>
          <w:sz w:val="24"/>
          <w:szCs w:val="24"/>
          <w:lang w:val="en-US" w:eastAsia="zh-CN" w:bidi="ar-SA"/>
        </w:rPr>
      </w:pPr>
      <w:r>
        <w:rPr>
          <w:rFonts w:hint="eastAsia" w:ascii="Times New Roman" w:hAnsi="Times New Roman" w:eastAsia="宋体" w:cs="Times New Roman"/>
          <w:color w:val="auto"/>
          <w:sz w:val="20"/>
          <w:szCs w:val="20"/>
          <w:lang w:val="en-US" w:eastAsia="zh-CN" w:bidi="ar-SA"/>
        </w:rPr>
        <w:t xml:space="preserve">For Issue 2, considering unknown case, If the target cell is an unknown intra-frequency cell and the target cell Es/Iot≥-2 dB, then </w:t>
      </w:r>
      <w:r>
        <w:rPr>
          <w:highlight w:val="none"/>
        </w:rPr>
        <w:t>T</w:t>
      </w:r>
      <w:r>
        <w:rPr>
          <w:highlight w:val="none"/>
          <w:vertAlign w:val="subscript"/>
        </w:rPr>
        <w:t>search</w:t>
      </w:r>
      <w:r>
        <w:rPr>
          <w:highlight w:val="none"/>
        </w:rPr>
        <w:t xml:space="preserve"> = T</w:t>
      </w:r>
      <w:r>
        <w:rPr>
          <w:highlight w:val="none"/>
          <w:vertAlign w:val="subscript"/>
        </w:rPr>
        <w:t>rs</w:t>
      </w:r>
      <w:r>
        <w:t xml:space="preserve"> </w:t>
      </w:r>
      <w:r>
        <w:rPr>
          <w:rFonts w:hint="eastAsia" w:ascii="Times New Roman" w:hAnsi="Times New Roman" w:eastAsia="宋体" w:cs="Times New Roman"/>
          <w:color w:val="auto"/>
          <w:sz w:val="20"/>
          <w:szCs w:val="20"/>
          <w:lang w:val="en-US" w:eastAsia="zh-CN" w:bidi="ar-SA"/>
        </w:rPr>
        <w:t>ms. If the target cell is an unknown inter-frequency cell and the target cell Es/Iot≥-2 dB, then</w:t>
      </w:r>
      <w:r>
        <w:t xml:space="preserve"> </w:t>
      </w:r>
      <w:r>
        <w:rPr>
          <w:highlight w:val="none"/>
        </w:rPr>
        <w:t>T</w:t>
      </w:r>
      <w:r>
        <w:rPr>
          <w:highlight w:val="none"/>
          <w:vertAlign w:val="subscript"/>
        </w:rPr>
        <w:t>search</w:t>
      </w:r>
      <w:r>
        <w:rPr>
          <w:highlight w:val="none"/>
        </w:rPr>
        <w:t xml:space="preserve"> = 3* T</w:t>
      </w:r>
      <w:r>
        <w:rPr>
          <w:highlight w:val="none"/>
          <w:vertAlign w:val="subscript"/>
        </w:rPr>
        <w:t>rs</w:t>
      </w:r>
      <w:r>
        <w:rPr>
          <w:highlight w:val="none"/>
        </w:rPr>
        <w:t xml:space="preserve"> </w:t>
      </w:r>
      <w:r>
        <w:rPr>
          <w:rFonts w:hint="eastAsia" w:eastAsia="宋体"/>
          <w:color w:val="auto"/>
          <w:sz w:val="20"/>
          <w:szCs w:val="20"/>
          <w:lang w:val="en-US" w:eastAsia="zh-CN"/>
        </w:rPr>
        <w:t xml:space="preserve">ms. </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ATG scenario, gNBs should be deployed to cover the whole air line. Since the trajectory is deterministic, so the common case is the target cell is known. So not need to consider unknown case, which is same as the handling in HST.</w:t>
      </w:r>
    </w:p>
    <w:p>
      <w:pPr>
        <w:pStyle w:val="4"/>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7: Not need to consider handover to unknown cell for ATG scenario.</w:t>
      </w:r>
    </w:p>
    <w:p>
      <w:pPr>
        <w:pStyle w:val="4"/>
        <w:jc w:val="both"/>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RRC re-establishment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When the lose of RRC connection happening since of some failure case, it is necessary to perform RRC re-establishment. The requirements of RRC re-establishment for FR1 can be re-used for ATG.</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8: Re-using the legacy RRC re-establishment requirements for ATG UE.</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RRC release with redirection</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Regarding to the RRC release with redirection, the following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ind w:left="935" w:hanging="357"/>
              <w:rPr>
                <w:rFonts w:eastAsia="宋体"/>
                <w:sz w:val="20"/>
                <w:szCs w:val="20"/>
              </w:rPr>
            </w:pPr>
            <w:r>
              <w:rPr>
                <w:rFonts w:eastAsia="宋体"/>
                <w:sz w:val="20"/>
                <w:szCs w:val="20"/>
              </w:rPr>
              <w:t>Option 1: Reuse the current definitions of RRC Connection Release with Redirection delay requirement, definitions/requirements on T</w:t>
            </w:r>
            <w:r>
              <w:rPr>
                <w:rFonts w:eastAsia="宋体"/>
                <w:sz w:val="20"/>
                <w:szCs w:val="20"/>
                <w:vertAlign w:val="subscript"/>
              </w:rPr>
              <w:t>RACH</w:t>
            </w:r>
            <w:r>
              <w:rPr>
                <w:rFonts w:eastAsia="宋体"/>
                <w:sz w:val="20"/>
                <w:szCs w:val="20"/>
              </w:rPr>
              <w:t>, T</w:t>
            </w:r>
            <w:r>
              <w:rPr>
                <w:rFonts w:eastAsia="宋体"/>
                <w:sz w:val="20"/>
                <w:szCs w:val="20"/>
                <w:vertAlign w:val="subscript"/>
              </w:rPr>
              <w:t>SI-NR</w:t>
            </w:r>
            <w:r>
              <w:rPr>
                <w:rFonts w:eastAsia="宋体"/>
                <w:sz w:val="20"/>
                <w:szCs w:val="20"/>
              </w:rPr>
              <w:t xml:space="preserve"> and T</w:t>
            </w:r>
            <w:r>
              <w:rPr>
                <w:rFonts w:eastAsia="宋体"/>
                <w:sz w:val="20"/>
                <w:szCs w:val="20"/>
                <w:vertAlign w:val="subscript"/>
              </w:rPr>
              <w:t xml:space="preserve">RRC_procedure_delay </w:t>
            </w:r>
          </w:p>
          <w:p>
            <w:pPr>
              <w:numPr>
                <w:ilvl w:val="1"/>
                <w:numId w:val="5"/>
              </w:numPr>
              <w:rPr>
                <w:rFonts w:eastAsia="宋体"/>
                <w:sz w:val="20"/>
                <w:szCs w:val="20"/>
              </w:rPr>
            </w:pPr>
            <w:r>
              <w:rPr>
                <w:rFonts w:eastAsia="宋体"/>
                <w:sz w:val="20"/>
                <w:szCs w:val="20"/>
              </w:rPr>
              <w:t xml:space="preserve">Option 1-1: </w:t>
            </w:r>
            <w:r>
              <w:rPr>
                <w:rFonts w:hint="eastAsia" w:eastAsia="宋体"/>
                <w:sz w:val="20"/>
                <w:szCs w:val="20"/>
              </w:rPr>
              <w:t>R</w:t>
            </w:r>
            <w:r>
              <w:rPr>
                <w:rFonts w:eastAsia="宋体"/>
                <w:sz w:val="20"/>
                <w:szCs w:val="20"/>
              </w:rPr>
              <w:t>euse the legacy requirement for T</w:t>
            </w:r>
            <w:r>
              <w:rPr>
                <w:rFonts w:eastAsia="宋体"/>
                <w:sz w:val="20"/>
                <w:szCs w:val="20"/>
                <w:vertAlign w:val="subscript"/>
              </w:rPr>
              <w:t xml:space="preserve">SI-NR, </w:t>
            </w:r>
            <w:r>
              <w:rPr>
                <w:rFonts w:eastAsia="宋体"/>
                <w:sz w:val="20"/>
                <w:szCs w:val="20"/>
              </w:rPr>
              <w:t>T</w:t>
            </w:r>
            <w:r>
              <w:rPr>
                <w:rFonts w:eastAsia="宋体"/>
                <w:sz w:val="20"/>
                <w:szCs w:val="20"/>
                <w:vertAlign w:val="subscript"/>
              </w:rPr>
              <w:t>identify-NR</w:t>
            </w:r>
            <w:r>
              <w:rPr>
                <w:rFonts w:eastAsia="宋体"/>
                <w:sz w:val="20"/>
                <w:szCs w:val="20"/>
              </w:rPr>
              <w:t xml:space="preserve"> and total delay requirement. </w:t>
            </w:r>
          </w:p>
          <w:p>
            <w:pPr>
              <w:numPr>
                <w:ilvl w:val="1"/>
                <w:numId w:val="5"/>
              </w:numPr>
              <w:rPr>
                <w:rFonts w:eastAsia="宋体"/>
                <w:sz w:val="20"/>
                <w:szCs w:val="20"/>
              </w:rPr>
            </w:pPr>
            <w:r>
              <w:rPr>
                <w:rFonts w:eastAsia="宋体"/>
                <w:sz w:val="20"/>
                <w:szCs w:val="20"/>
              </w:rPr>
              <w:t>Option 1-2: FFS the T</w:t>
            </w:r>
            <w:r>
              <w:rPr>
                <w:rFonts w:eastAsia="宋体"/>
                <w:sz w:val="20"/>
                <w:szCs w:val="20"/>
                <w:vertAlign w:val="subscript"/>
              </w:rPr>
              <w:t>SI-NR</w:t>
            </w:r>
            <w:r>
              <w:rPr>
                <w:rFonts w:eastAsia="宋体"/>
                <w:sz w:val="20"/>
                <w:szCs w:val="20"/>
              </w:rPr>
              <w:t>, T</w:t>
            </w:r>
            <w:r>
              <w:rPr>
                <w:rFonts w:eastAsia="宋体"/>
                <w:sz w:val="20"/>
                <w:szCs w:val="20"/>
                <w:vertAlign w:val="subscript"/>
              </w:rPr>
              <w:t>identify-NR</w:t>
            </w:r>
            <w:r>
              <w:rPr>
                <w:rFonts w:eastAsia="宋体"/>
                <w:sz w:val="20"/>
                <w:szCs w:val="20"/>
              </w:rPr>
              <w:t xml:space="preserve"> and total delay requirement.</w:t>
            </w:r>
          </w:p>
          <w:p>
            <w:pPr>
              <w:numPr>
                <w:ilvl w:val="0"/>
                <w:numId w:val="5"/>
              </w:numPr>
              <w:ind w:left="935" w:hanging="357"/>
              <w:rPr>
                <w:rFonts w:hint="default" w:eastAsia="宋体"/>
                <w:color w:val="auto"/>
                <w:sz w:val="20"/>
                <w:szCs w:val="20"/>
                <w:vertAlign w:val="baseline"/>
                <w:lang w:val="en-US" w:eastAsia="zh-CN"/>
              </w:rPr>
            </w:pPr>
            <w:r>
              <w:rPr>
                <w:rFonts w:eastAsia="宋体"/>
                <w:sz w:val="20"/>
                <w:szCs w:val="20"/>
              </w:rPr>
              <w:t xml:space="preserve">Option 2: </w:t>
            </w:r>
            <w:r>
              <w:rPr>
                <w:rFonts w:hint="eastAsia" w:eastAsia="宋体"/>
                <w:sz w:val="20"/>
                <w:szCs w:val="20"/>
              </w:rPr>
              <w:t>F</w:t>
            </w:r>
            <w:r>
              <w:rPr>
                <w:rFonts w:eastAsia="宋体"/>
                <w:sz w:val="20"/>
                <w:szCs w:val="20"/>
              </w:rPr>
              <w:t>FS</w:t>
            </w:r>
          </w:p>
        </w:tc>
      </w:tr>
    </w:tbl>
    <w:p>
      <w:pPr>
        <w:pStyle w:val="4"/>
        <w:jc w:val="both"/>
        <w:rPr>
          <w:rFonts w:hint="default" w:cs="v4.2.0"/>
          <w:vertAlign w:val="subscript"/>
          <w:lang w:val="en-US"/>
        </w:rPr>
      </w:pPr>
      <w:r>
        <w:rPr>
          <w:rFonts w:hint="eastAsia" w:eastAsia="宋体"/>
          <w:color w:val="auto"/>
          <w:sz w:val="20"/>
          <w:szCs w:val="20"/>
          <w:lang w:val="en-US" w:eastAsia="zh-CN"/>
        </w:rPr>
        <w:t xml:space="preserve">Based on current requirements, if redirection to NR, </w:t>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hint="eastAsia" w:eastAsia="宋体"/>
          <w:color w:val="auto"/>
          <w:sz w:val="20"/>
          <w:szCs w:val="20"/>
          <w:lang w:val="en-US" w:eastAsia="zh-CN"/>
        </w:rPr>
        <w:t xml:space="preserve">. If redirection to LTE, </w:t>
      </w:r>
      <w:r>
        <w:t>T</w:t>
      </w:r>
      <w:r>
        <w:rPr>
          <w:vertAlign w:val="subscript"/>
        </w:rPr>
        <w:t>connection_release_redirect_E-UTRA</w:t>
      </w:r>
      <w:r>
        <w:t xml:space="preserve"> = T</w:t>
      </w:r>
      <w:r>
        <w:rPr>
          <w:vertAlign w:val="subscript"/>
        </w:rPr>
        <w:t xml:space="preserve">RRC_procedure_delay </w:t>
      </w:r>
      <w:r>
        <w:t xml:space="preserve">+ </w:t>
      </w:r>
      <w:r>
        <w:rPr>
          <w:rFonts w:cs="v4.2.0"/>
        </w:rPr>
        <w:t>T</w:t>
      </w:r>
      <w:r>
        <w:rPr>
          <w:rFonts w:cs="v4.2.0"/>
          <w:vertAlign w:val="subscript"/>
        </w:rPr>
        <w:t xml:space="preserve">identify-E-UTRA </w:t>
      </w:r>
      <w:r>
        <w:rPr>
          <w:rFonts w:cs="v4.2.0"/>
        </w:rPr>
        <w:t>+ T</w:t>
      </w:r>
      <w:r>
        <w:rPr>
          <w:rFonts w:cs="v4.2.0"/>
          <w:vertAlign w:val="subscript"/>
        </w:rPr>
        <w:t xml:space="preserve">SI-E-UTRA </w:t>
      </w:r>
      <w:r>
        <w:rPr>
          <w:rFonts w:cs="v4.2.0"/>
        </w:rPr>
        <w:t>+ T</w:t>
      </w:r>
      <w:r>
        <w:rPr>
          <w:rFonts w:cs="v4.2.0"/>
          <w:vertAlign w:val="subscript"/>
        </w:rPr>
        <w:t>RACH</w:t>
      </w:r>
      <w:r>
        <w:rPr>
          <w:rFonts w:hint="eastAsia" w:eastAsia="宋体"/>
          <w:color w:val="auto"/>
          <w:sz w:val="20"/>
          <w:szCs w:val="20"/>
          <w:lang w:val="en-US" w:eastAsia="zh-CN"/>
        </w:rPr>
        <w:t xml:space="preserve">. </w:t>
      </w:r>
    </w:p>
    <w:p>
      <w:pPr>
        <w:pStyle w:val="4"/>
        <w:jc w:val="both"/>
        <w:rPr>
          <w:rFonts w:hint="default" w:eastAsia="宋体"/>
          <w:color w:val="auto"/>
          <w:sz w:val="20"/>
          <w:szCs w:val="20"/>
          <w:lang w:val="en-US" w:eastAsia="zh-CN"/>
        </w:rPr>
      </w:pPr>
      <w:r>
        <w:rPr>
          <w:rFonts w:hint="eastAsia" w:eastAsia="宋体"/>
          <w:color w:val="auto"/>
          <w:sz w:val="20"/>
          <w:szCs w:val="20"/>
          <w:lang w:val="en-US" w:eastAsia="zh-CN"/>
        </w:rPr>
        <w:t xml:space="preserve">We prefer Option 1, i.e. reuse the current definitions of RRC connection release with redirection delay requirements on </w:t>
      </w:r>
      <w:r>
        <w:t>T</w:t>
      </w:r>
      <w:r>
        <w:rPr>
          <w:vertAlign w:val="subscript"/>
        </w:rPr>
        <w:t>RRC_procedure_delay</w:t>
      </w:r>
      <w:r>
        <w:rPr>
          <w:rFonts w:hint="eastAsia" w:eastAsia="宋体"/>
          <w:color w:val="auto"/>
          <w:sz w:val="20"/>
          <w:szCs w:val="20"/>
          <w:lang w:val="en-US" w:eastAsia="zh-CN"/>
        </w:rPr>
        <w:t xml:space="preserve">, </w:t>
      </w:r>
      <w:r>
        <w:rPr>
          <w:rFonts w:cs="v4.2.0"/>
        </w:rPr>
        <w:t>T</w:t>
      </w:r>
      <w:r>
        <w:rPr>
          <w:rFonts w:cs="v4.2.0"/>
          <w:vertAlign w:val="subscript"/>
        </w:rPr>
        <w:t>identify-NR</w:t>
      </w:r>
      <w:r>
        <w:rPr>
          <w:rFonts w:hint="eastAsia" w:eastAsia="宋体"/>
          <w:color w:val="auto"/>
          <w:sz w:val="20"/>
          <w:szCs w:val="20"/>
          <w:lang w:val="en-US" w:eastAsia="zh-CN"/>
        </w:rPr>
        <w:t xml:space="preserve">, </w:t>
      </w:r>
      <w:r>
        <w:rPr>
          <w:rFonts w:cs="v4.2.0"/>
        </w:rPr>
        <w:t>T</w:t>
      </w:r>
      <w:r>
        <w:rPr>
          <w:rFonts w:cs="v4.2.0"/>
          <w:vertAlign w:val="subscript"/>
        </w:rPr>
        <w:t>SI-NR</w:t>
      </w:r>
      <w:r>
        <w:rPr>
          <w:rFonts w:hint="eastAsia" w:eastAsia="宋体" w:cs="v4.2.0"/>
          <w:vertAlign w:val="subscript"/>
          <w:lang w:val="en-US" w:eastAsia="zh-CN"/>
        </w:rPr>
        <w:t xml:space="preserve"> </w:t>
      </w:r>
      <w:r>
        <w:rPr>
          <w:rFonts w:hint="eastAsia" w:eastAsia="宋体"/>
          <w:color w:val="auto"/>
          <w:sz w:val="20"/>
          <w:szCs w:val="20"/>
          <w:lang w:val="en-US" w:eastAsia="zh-CN"/>
        </w:rPr>
        <w:t xml:space="preserve">and </w:t>
      </w:r>
      <w:r>
        <w:rPr>
          <w:rFonts w:cs="v4.2.0"/>
        </w:rPr>
        <w:t>T</w:t>
      </w:r>
      <w:r>
        <w:rPr>
          <w:rFonts w:cs="v4.2.0"/>
          <w:vertAlign w:val="subscript"/>
        </w:rPr>
        <w:t>RACH</w:t>
      </w:r>
      <w:r>
        <w:rPr>
          <w:rFonts w:hint="eastAsia" w:eastAsia="宋体"/>
          <w:color w:val="auto"/>
          <w:sz w:val="20"/>
          <w:szCs w:val="20"/>
          <w:lang w:val="en-US" w:eastAsia="zh-CN"/>
        </w:rPr>
        <w:t>.</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9: Re-using the requirements of legacy RRC release with redirection to NR target cell.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RRM aspects for ATG system</w:t>
      </w:r>
      <w:r>
        <w:rPr>
          <w:rFonts w:eastAsia="宋体"/>
          <w:bCs/>
          <w:color w:val="auto"/>
          <w:sz w:val="20"/>
          <w:szCs w:val="20"/>
          <w:lang w:val="en-GB" w:eastAsia="zh-CN"/>
        </w:rPr>
        <w:t>:</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The legacy cell re-selection rule should be a baseline or mandatory support. Regarding to whether additional enhanced cell re-selection can be considered, either not support or optional support.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ATG CPE should be more powerful than normal hand-held UE and not constraint by the size. So the power consumption is not the factor which should be mainly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Design an additional cell re-selection rule, which would impact the UE implementation and perf test greatly.</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2: The trade-off between the workload and performance gain brought by the new cell re-selection rule should be considered.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Whether cell re-selection measurement requirements needs to be enhanced, depend on the outcome of cell re-selection mechanism. If not any new mechanism approved, just reusing the legacy R15 requirements is fine.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It seems SDT is not enough with the consideration of hundreds of passengers. So we do not prefer applying SDT under ATG scenario.</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5: regular intra-frequency measurement and inter-frequency measurement similar as legacy is needed.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Considering the requirements for known case handover, re-using legacy legacy requirement for ATG UE is fine.</w:t>
      </w:r>
    </w:p>
    <w:p>
      <w:pPr>
        <w:pStyle w:val="4"/>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7: Not need to consider handover to unknown cell for ATG scenario.</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8: Re-using the legacy RRC re-establishment requirements for ATG UE.</w:t>
      </w:r>
    </w:p>
    <w:p>
      <w:pPr>
        <w:pStyle w:val="4"/>
        <w:numPr>
          <w:ilvl w:val="0"/>
          <w:numId w:val="0"/>
        </w:numPr>
        <w:ind w:leftChars="0"/>
        <w:jc w:val="both"/>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9: Re-using the requirements of legacy RRC release with redirection to NR target cell.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0"/>
        </w:numPr>
        <w:ind w:leftChars="0"/>
        <w:rPr>
          <w:rFonts w:hint="default" w:eastAsia="宋体"/>
          <w:color w:val="auto"/>
          <w:lang w:val="en-US" w:eastAsia="zh-CN"/>
        </w:rPr>
      </w:pPr>
      <w:r>
        <w:rPr>
          <w:rFonts w:hint="eastAsia"/>
          <w:color w:val="auto"/>
          <w:lang w:val="en-US" w:eastAsia="zh-CN"/>
        </w:rPr>
        <w:t xml:space="preserve">[2] RP-2217256 </w:t>
      </w:r>
      <w:r>
        <w:rPr>
          <w:rFonts w:hint="default"/>
          <w:color w:val="auto"/>
          <w:lang w:val="en-US" w:eastAsia="zh-CN"/>
        </w:rPr>
        <w:t>“</w:t>
      </w:r>
      <w:bookmarkStart w:id="1" w:name="_Hlk41145953"/>
      <w:r>
        <w:rPr>
          <w:rFonts w:hint="default"/>
          <w:color w:val="auto"/>
          <w:lang w:val="en-US" w:eastAsia="zh-CN"/>
        </w:rPr>
        <w:t>WF on NR ATG RRM</w:t>
      </w:r>
      <w:bookmarkEnd w:id="1"/>
      <w:r>
        <w:rPr>
          <w:rFonts w:hint="default"/>
          <w:color w:val="auto"/>
          <w:lang w:val="en-US" w:eastAsia="zh-CN"/>
        </w:rPr>
        <w:t xml:space="preserve"> core requirements”</w:t>
      </w:r>
      <w:r>
        <w:rPr>
          <w:rFonts w:hint="eastAsia"/>
          <w:color w:val="auto"/>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CD74ABD"/>
    <w:multiLevelType w:val="singleLevel"/>
    <w:tmpl w:val="0CD74ABD"/>
    <w:lvl w:ilvl="0" w:tentative="0">
      <w:start w:val="1"/>
      <w:numFmt w:val="bullet"/>
      <w:lvlText w:val=""/>
      <w:lvlJc w:val="left"/>
      <w:pPr>
        <w:tabs>
          <w:tab w:val="left" w:pos="420"/>
        </w:tabs>
        <w:ind w:left="8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2"/>
  </w:num>
  <w:num w:numId="4">
    <w:abstractNumId w:val="3"/>
  </w:num>
  <w:num w:numId="5">
    <w:abstractNumId w:val="6"/>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7CD3CDD"/>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DEE745F"/>
    <w:rsid w:val="0FAD3D1E"/>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AF55E3"/>
    <w:rsid w:val="18B077E2"/>
    <w:rsid w:val="18B1519A"/>
    <w:rsid w:val="18CD0507"/>
    <w:rsid w:val="18F36BA5"/>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8364FC"/>
    <w:rsid w:val="208953F9"/>
    <w:rsid w:val="21014C39"/>
    <w:rsid w:val="21244EB1"/>
    <w:rsid w:val="213964D8"/>
    <w:rsid w:val="21595D04"/>
    <w:rsid w:val="21F13629"/>
    <w:rsid w:val="223236B6"/>
    <w:rsid w:val="2255462C"/>
    <w:rsid w:val="2305377E"/>
    <w:rsid w:val="23901822"/>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CE6564D"/>
    <w:rsid w:val="2E014790"/>
    <w:rsid w:val="2EE77680"/>
    <w:rsid w:val="2F2F0FC8"/>
    <w:rsid w:val="2FA70460"/>
    <w:rsid w:val="301C6BB6"/>
    <w:rsid w:val="319708F2"/>
    <w:rsid w:val="31A8260E"/>
    <w:rsid w:val="31B14C9E"/>
    <w:rsid w:val="332B149D"/>
    <w:rsid w:val="33C522D7"/>
    <w:rsid w:val="344C156B"/>
    <w:rsid w:val="34807672"/>
    <w:rsid w:val="35510C5F"/>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405F175E"/>
    <w:rsid w:val="40C765F3"/>
    <w:rsid w:val="42F869D2"/>
    <w:rsid w:val="43553536"/>
    <w:rsid w:val="44972678"/>
    <w:rsid w:val="451632B9"/>
    <w:rsid w:val="45906394"/>
    <w:rsid w:val="45F60A50"/>
    <w:rsid w:val="46142D0C"/>
    <w:rsid w:val="46263A53"/>
    <w:rsid w:val="46970A81"/>
    <w:rsid w:val="46B036BF"/>
    <w:rsid w:val="46CC320F"/>
    <w:rsid w:val="47282363"/>
    <w:rsid w:val="47810C98"/>
    <w:rsid w:val="47924F0A"/>
    <w:rsid w:val="47EE5B4D"/>
    <w:rsid w:val="48F407FD"/>
    <w:rsid w:val="49DC4EAC"/>
    <w:rsid w:val="49E55BC5"/>
    <w:rsid w:val="4A5D0BB5"/>
    <w:rsid w:val="4B600E77"/>
    <w:rsid w:val="4B8F684D"/>
    <w:rsid w:val="4BF02011"/>
    <w:rsid w:val="4C1C63D6"/>
    <w:rsid w:val="4C2D52ED"/>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924E81"/>
    <w:rsid w:val="5E2864D0"/>
    <w:rsid w:val="5E494511"/>
    <w:rsid w:val="5EB44FC0"/>
    <w:rsid w:val="5F6120F2"/>
    <w:rsid w:val="5FBA395F"/>
    <w:rsid w:val="60094E5C"/>
    <w:rsid w:val="606F38F4"/>
    <w:rsid w:val="60EC2CBA"/>
    <w:rsid w:val="61CC2D28"/>
    <w:rsid w:val="635902CD"/>
    <w:rsid w:val="64706BBE"/>
    <w:rsid w:val="64F2095B"/>
    <w:rsid w:val="65A16A49"/>
    <w:rsid w:val="66F31E7F"/>
    <w:rsid w:val="67A858DB"/>
    <w:rsid w:val="67F953C2"/>
    <w:rsid w:val="67FE4166"/>
    <w:rsid w:val="68C401C3"/>
    <w:rsid w:val="69A833BD"/>
    <w:rsid w:val="69EF6835"/>
    <w:rsid w:val="6CB41273"/>
    <w:rsid w:val="6D566F0F"/>
    <w:rsid w:val="6D836F72"/>
    <w:rsid w:val="6DDE3DAF"/>
    <w:rsid w:val="6E3241BE"/>
    <w:rsid w:val="6EB97A9D"/>
    <w:rsid w:val="6EF10A90"/>
    <w:rsid w:val="6EFC7DED"/>
    <w:rsid w:val="6F2A7FBF"/>
    <w:rsid w:val="6FFF1868"/>
    <w:rsid w:val="715F4C2D"/>
    <w:rsid w:val="722F78FB"/>
    <w:rsid w:val="723C2F8E"/>
    <w:rsid w:val="723D67C5"/>
    <w:rsid w:val="726A5F44"/>
    <w:rsid w:val="72BF60CA"/>
    <w:rsid w:val="72F41282"/>
    <w:rsid w:val="73146C33"/>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F9732D"/>
    <w:rsid w:val="7922350F"/>
    <w:rsid w:val="792B5470"/>
    <w:rsid w:val="7A9367CB"/>
    <w:rsid w:val="7AF22571"/>
    <w:rsid w:val="7B0720CF"/>
    <w:rsid w:val="7B4C0E47"/>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2022-11-07T14:31:07Z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